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1636C7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33C6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 w:rsidR="00033C6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033C66">
        <w:rPr>
          <w:rFonts w:ascii="Times New Roman CYR" w:hAnsi="Times New Roman CYR" w:cs="Times New Roman CYR"/>
          <w:sz w:val="28"/>
          <w:szCs w:val="28"/>
        </w:rPr>
        <w:t>7/1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C33FD7" w:rsidRDefault="00C33FD7" w:rsidP="00C33FD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C33FD7" w:rsidRDefault="00C33FD7" w:rsidP="00C33FD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C33FD7" w:rsidRDefault="00C33FD7" w:rsidP="00C33FD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C33FD7" w:rsidRDefault="00C33FD7" w:rsidP="00C33FD7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C33FD7" w:rsidRDefault="00C33FD7" w:rsidP="00C33FD7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7D3310" w:rsidRPr="0024152A" w:rsidRDefault="007D3310" w:rsidP="00F762A6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25.03.2015 № 67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700A8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C33FD7" w:rsidRDefault="00C33FD7" w:rsidP="00C33F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селения. </w:t>
      </w:r>
    </w:p>
    <w:p w:rsidR="00C33FD7" w:rsidRDefault="00C33FD7" w:rsidP="00C33FD7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C33FD7" w:rsidRDefault="00C33FD7" w:rsidP="00C33FD7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C72EA" w:rsidRDefault="006C72EA" w:rsidP="00242B6C">
      <w:pPr>
        <w:ind w:right="-1"/>
        <w:jc w:val="both"/>
        <w:rPr>
          <w:noProof/>
          <w:sz w:val="28"/>
          <w:szCs w:val="28"/>
          <w:lang w:eastAsia="ar-SA"/>
        </w:rPr>
      </w:pPr>
    </w:p>
    <w:p w:rsidR="007D3310" w:rsidRDefault="007D3310" w:rsidP="007D3310">
      <w:pPr>
        <w:jc w:val="both"/>
        <w:rPr>
          <w:sz w:val="12"/>
          <w:szCs w:val="28"/>
        </w:rPr>
      </w:pP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56678">
        <w:rPr>
          <w:sz w:val="24"/>
          <w:szCs w:val="24"/>
        </w:rPr>
        <w:t>2</w:t>
      </w:r>
      <w:r w:rsidR="00717833">
        <w:rPr>
          <w:sz w:val="24"/>
          <w:szCs w:val="24"/>
        </w:rPr>
        <w:t>4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717833">
        <w:rPr>
          <w:sz w:val="24"/>
          <w:szCs w:val="24"/>
        </w:rPr>
        <w:t>4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6C72EA">
        <w:rPr>
          <w:sz w:val="24"/>
          <w:szCs w:val="24"/>
        </w:rPr>
        <w:t>5</w:t>
      </w:r>
      <w:r w:rsidR="00717833">
        <w:rPr>
          <w:sz w:val="24"/>
          <w:szCs w:val="24"/>
        </w:rPr>
        <w:t>7/1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 xml:space="preserve">Благоустройство </w:t>
      </w:r>
      <w:r w:rsidR="00717833">
        <w:rPr>
          <w:bCs/>
          <w:sz w:val="24"/>
          <w:szCs w:val="24"/>
        </w:rPr>
        <w:t xml:space="preserve">территории </w:t>
      </w:r>
      <w:r w:rsidR="002462F7" w:rsidRPr="002462F7">
        <w:rPr>
          <w:bCs/>
          <w:sz w:val="24"/>
          <w:szCs w:val="24"/>
        </w:rPr>
        <w:t>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8"/>
        <w:gridCol w:w="1978"/>
        <w:gridCol w:w="2551"/>
        <w:gridCol w:w="989"/>
        <w:gridCol w:w="992"/>
        <w:gridCol w:w="989"/>
        <w:gridCol w:w="992"/>
        <w:gridCol w:w="989"/>
        <w:gridCol w:w="1025"/>
        <w:gridCol w:w="814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8B2993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8B2993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45" w:type="pct"/>
          </w:tcPr>
          <w:p w:rsidR="00263AD7" w:rsidRPr="00722BE8" w:rsidRDefault="00DE2212" w:rsidP="00E56678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10</w:t>
            </w:r>
            <w:r w:rsidR="00E56678">
              <w:rPr>
                <w:b/>
              </w:rPr>
              <w:t>8,3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8B2993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8B2993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717833" w:rsidP="007178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27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Default="005A67CE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Default="00717833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8B2993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E56678" w:rsidRDefault="00BC5E82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E56678" w:rsidRDefault="00BC5E82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8B2993" w:rsidP="00BC5E82">
            <w:pPr>
              <w:pStyle w:val="ConsPlusCell"/>
              <w:rPr>
                <w:b/>
              </w:rPr>
            </w:pPr>
            <w:r>
              <w:rPr>
                <w:b/>
              </w:rPr>
              <w:t>1 525,4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45" w:type="pct"/>
          </w:tcPr>
          <w:p w:rsidR="005A67CE" w:rsidRPr="00B31077" w:rsidRDefault="00BC5E82" w:rsidP="008B299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2993">
              <w:rPr>
                <w:b/>
              </w:rPr>
              <w:t> 525,4</w:t>
            </w:r>
          </w:p>
        </w:tc>
        <w:tc>
          <w:tcPr>
            <w:tcW w:w="27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E90E6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5A67CE">
              <w:rPr>
                <w:i/>
              </w:rPr>
              <w:t>0,0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8B2993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BC5E82" w:rsidRPr="000E0D5E" w:rsidRDefault="00BC5E82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564,3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564,3</w:t>
            </w:r>
          </w:p>
        </w:tc>
        <w:tc>
          <w:tcPr>
            <w:tcW w:w="27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5A67CE" w:rsidP="008B2993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2993">
              <w:rPr>
                <w:b/>
                <w:color w:val="000000"/>
              </w:rPr>
              <w:t> 633,7</w:t>
            </w: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45" w:type="pct"/>
          </w:tcPr>
          <w:p w:rsidR="005A67CE" w:rsidRPr="00396432" w:rsidRDefault="005A67CE" w:rsidP="008B299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2993">
              <w:rPr>
                <w:b/>
              </w:rPr>
              <w:t> 633,7</w:t>
            </w:r>
          </w:p>
        </w:tc>
        <w:tc>
          <w:tcPr>
            <w:tcW w:w="274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9A" w:rsidRDefault="00100E9A" w:rsidP="00FD13A7">
      <w:r>
        <w:separator/>
      </w:r>
    </w:p>
  </w:endnote>
  <w:endnote w:type="continuationSeparator" w:id="0">
    <w:p w:rsidR="00100E9A" w:rsidRDefault="00100E9A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F2607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100E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F2607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FD7">
      <w:rPr>
        <w:rStyle w:val="a5"/>
        <w:noProof/>
      </w:rPr>
      <w:t>9</w:t>
    </w:r>
    <w:r>
      <w:rPr>
        <w:rStyle w:val="a5"/>
      </w:rPr>
      <w:fldChar w:fldCharType="end"/>
    </w:r>
  </w:p>
  <w:p w:rsidR="00BA1957" w:rsidRDefault="00100E9A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9A" w:rsidRDefault="00100E9A" w:rsidP="00FD13A7">
      <w:r>
        <w:separator/>
      </w:r>
    </w:p>
  </w:footnote>
  <w:footnote w:type="continuationSeparator" w:id="0">
    <w:p w:rsidR="00100E9A" w:rsidRDefault="00100E9A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B3AFE"/>
    <w:rsid w:val="000E0D5E"/>
    <w:rsid w:val="00100E9A"/>
    <w:rsid w:val="001636C7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5583"/>
    <w:rsid w:val="003576C0"/>
    <w:rsid w:val="003F0F11"/>
    <w:rsid w:val="0044246B"/>
    <w:rsid w:val="00477F6E"/>
    <w:rsid w:val="00495BC6"/>
    <w:rsid w:val="004A0955"/>
    <w:rsid w:val="004A30F1"/>
    <w:rsid w:val="004E4510"/>
    <w:rsid w:val="004E7F5F"/>
    <w:rsid w:val="00526ED5"/>
    <w:rsid w:val="00533BED"/>
    <w:rsid w:val="005A67CE"/>
    <w:rsid w:val="005B431A"/>
    <w:rsid w:val="005C6593"/>
    <w:rsid w:val="005F0E09"/>
    <w:rsid w:val="0061162F"/>
    <w:rsid w:val="00655B1D"/>
    <w:rsid w:val="0066542B"/>
    <w:rsid w:val="006A4548"/>
    <w:rsid w:val="006C59F6"/>
    <w:rsid w:val="006C72EA"/>
    <w:rsid w:val="006E2329"/>
    <w:rsid w:val="00704F72"/>
    <w:rsid w:val="00717833"/>
    <w:rsid w:val="00722BE8"/>
    <w:rsid w:val="00754462"/>
    <w:rsid w:val="00776AE8"/>
    <w:rsid w:val="007B1F77"/>
    <w:rsid w:val="007D3310"/>
    <w:rsid w:val="008078A8"/>
    <w:rsid w:val="00817D95"/>
    <w:rsid w:val="00871714"/>
    <w:rsid w:val="008B2993"/>
    <w:rsid w:val="008D7D59"/>
    <w:rsid w:val="0091009A"/>
    <w:rsid w:val="00926F34"/>
    <w:rsid w:val="00937A7C"/>
    <w:rsid w:val="00985D99"/>
    <w:rsid w:val="009C1E0E"/>
    <w:rsid w:val="00A50A6B"/>
    <w:rsid w:val="00A969D9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33FD7"/>
    <w:rsid w:val="00C5488E"/>
    <w:rsid w:val="00C76C49"/>
    <w:rsid w:val="00CA4487"/>
    <w:rsid w:val="00CC01AD"/>
    <w:rsid w:val="00CF0DAE"/>
    <w:rsid w:val="00D11999"/>
    <w:rsid w:val="00D201D6"/>
    <w:rsid w:val="00DA2235"/>
    <w:rsid w:val="00DB3C9C"/>
    <w:rsid w:val="00DC2B63"/>
    <w:rsid w:val="00DD1068"/>
    <w:rsid w:val="00DE2212"/>
    <w:rsid w:val="00E16881"/>
    <w:rsid w:val="00E56678"/>
    <w:rsid w:val="00E700A8"/>
    <w:rsid w:val="00E90E66"/>
    <w:rsid w:val="00EA3453"/>
    <w:rsid w:val="00EF25FF"/>
    <w:rsid w:val="00F26075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33</cp:revision>
  <cp:lastPrinted>2014-06-18T10:27:00Z</cp:lastPrinted>
  <dcterms:created xsi:type="dcterms:W3CDTF">2013-10-30T11:45:00Z</dcterms:created>
  <dcterms:modified xsi:type="dcterms:W3CDTF">2015-07-23T05:58:00Z</dcterms:modified>
</cp:coreProperties>
</file>